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23" w:rsidRPr="00A16623" w:rsidRDefault="00A16623" w:rsidP="00A16623">
      <w:pPr>
        <w:jc w:val="right"/>
        <w:rPr>
          <w:b/>
          <w:lang w:val="en-US"/>
        </w:rPr>
      </w:pPr>
      <w:r w:rsidRPr="00A16623">
        <w:rPr>
          <w:b/>
          <w:lang w:val="en-US"/>
        </w:rPr>
        <w:t>ANNEX 6</w:t>
      </w:r>
    </w:p>
    <w:tbl>
      <w:tblPr>
        <w:tblW w:w="5315" w:type="pct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054"/>
        <w:gridCol w:w="56"/>
      </w:tblGrid>
      <w:tr w:rsidR="008255DB" w:rsidRPr="008255DB" w:rsidTr="00A16623">
        <w:trPr>
          <w:trHeight w:val="27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ED0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7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RULES ON DOCTORAL STUDENTS TRANSFER </w:t>
            </w:r>
            <w:r w:rsidR="00B67604" w:rsidRPr="00A67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</w:t>
            </w:r>
            <w:r w:rsidRPr="00A67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D08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PhD</w:t>
            </w:r>
            <w:r w:rsidRPr="00A67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D08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PROGRAMMES OF THE UNIVERSITY 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F77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 doctoral candidate </w:t>
            </w:r>
            <w:r w:rsidR="00A677A4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wishing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be transferred to the University must come from a</w:t>
            </w:r>
            <w:r w:rsidR="00A677A4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Higher </w:t>
            </w:r>
            <w:r w:rsidR="00A677A4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 </w:t>
            </w:r>
            <w:r w:rsidR="00A677A4" w:rsidRPr="00ED088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Tertiary </w:t>
            </w:r>
            <w:r w:rsidRPr="00ED088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Education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77EA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Institut</w:t>
            </w:r>
            <w:r w:rsidR="00F77EA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 and/</w:t>
            </w:r>
            <w:r w:rsidR="00F77EA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 </w:t>
            </w:r>
            <w:r w:rsidR="00A677A4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Research </w:t>
            </w:r>
            <w:r w:rsidR="00F77EA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Institute </w:t>
            </w:r>
            <w:r w:rsidR="00A677A4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being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officially recognized in the country in which </w:t>
            </w:r>
            <w:r w:rsidR="00A677A4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it operat</w:t>
            </w:r>
            <w:r w:rsidR="00ED088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es </w:t>
            </w:r>
            <w:r w:rsidR="00A677A4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and/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 from a </w:t>
            </w:r>
            <w:r w:rsidR="00A677A4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field of study </w:t>
            </w:r>
            <w:r w:rsidR="00A677A4" w:rsidRPr="00A677A4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which has been assessed / certified in the country in which it operates.</w:t>
            </w:r>
            <w:r w:rsidR="00F77EAB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F77EA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7EA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2.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FB7D9A" w:rsidP="00245B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candidate for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transfer must have successfully completed at least two (2) academic semesters at the educational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Institut</w:t>
            </w:r>
            <w:r w:rsidR="00245B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 origin.</w:t>
            </w:r>
            <w:r w:rsidR="008255DB"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FB7D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candidate for transfer must meet all the requirements and </w:t>
            </w:r>
            <w:r w:rsidR="00FB7D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conditions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 the doctoral </w:t>
            </w:r>
            <w:r w:rsidR="00FB7D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programme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 the Department of the University in </w:t>
            </w:r>
            <w:bookmarkStart w:id="0" w:name="_GoBack"/>
            <w:bookmarkEnd w:id="0"/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which he</w:t>
            </w:r>
            <w:r w:rsidR="00FB7D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/she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wishes to join.</w:t>
            </w: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FB7D9A" w:rsidP="00245B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 w:rsidR="00245B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interested party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submits an application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for </w:t>
            </w:r>
            <w:r w:rsidR="00245B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his/her attendance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transfer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directly to the relevant D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epartment he / she wishes to join.</w:t>
            </w:r>
            <w:r w:rsidR="008255DB"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  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application is submitted together with all the required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supportive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documents of previous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attendance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(degrees,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transcripts </w:t>
            </w:r>
            <w:proofErr w:type="spellStart"/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).</w:t>
            </w:r>
            <w:r w:rsidR="008255DB"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245B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candidate's application is </w:t>
            </w:r>
            <w:r w:rsidR="00A1784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examined by the </w:t>
            </w:r>
            <w:r w:rsidR="00245B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Council</w:t>
            </w:r>
            <w:r w:rsidR="00A1784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 the relevant D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epartment.</w:t>
            </w: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  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decision of the </w:t>
            </w:r>
            <w:r w:rsidR="00245B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Council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 the Department is submitted to the Rector</w:t>
            </w:r>
            <w:r w:rsidR="00A1784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ate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Council for approval.</w:t>
            </w: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A1784C" w:rsidP="00502C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Following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ap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proval by the Rectorate Council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upon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student's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consent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Department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appoints the member of the academic staff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to be supervising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doctoral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student as the student's Research Advisor.</w:t>
            </w:r>
            <w:r w:rsidR="008255DB"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502C2F" w:rsidP="00AF33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d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octoral student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transferred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a </w:t>
            </w:r>
            <w:r w:rsidR="00245B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doctoral programme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 </w:t>
            </w:r>
            <w:r w:rsidR="00245B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University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 be credited with all the credit</w:t>
            </w:r>
            <w:r w:rsidR="00245B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unit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 of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modules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C2149A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attended</w:t>
            </w:r>
            <w:r w:rsidR="00AF339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research stage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or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writing stages </w:t>
            </w:r>
            <w:r w:rsidR="00C214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completed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 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nstitut</w:t>
            </w:r>
            <w:r w:rsidR="001137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 origin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after examining his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/her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1137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application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by the relevant admission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="008255DB"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epartment.</w:t>
            </w:r>
            <w:r w:rsidR="008255DB"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502C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minimum total time duration of study of 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transferred </w:t>
            </w:r>
            <w:r w:rsidR="00AF339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doctoral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students incl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uding</w:t>
            </w: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prior education is six (6) </w:t>
            </w:r>
            <w:r w:rsidR="001137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academic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semesters and the maximum total time 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duration is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sixteen (16) academic semester, of which four (4) at least academic semester</w:t>
            </w:r>
            <w:r w:rsidR="001137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attended at the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University.</w:t>
            </w: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113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 doctoral student 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transferred to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 </w:t>
            </w:r>
            <w:r w:rsidR="001137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programme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pays tuition fees for his</w:t>
            </w:r>
            <w:r w:rsidR="00502C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/her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academic semesters </w:t>
            </w:r>
            <w:r w:rsidR="007501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 attendance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 the University as </w:t>
            </w:r>
            <w:r w:rsidR="007501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being defined 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="007501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 the </w:t>
            </w:r>
            <w:r w:rsidR="001137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Rules on </w:t>
            </w:r>
            <w:r w:rsidR="007501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Postgraduate </w:t>
            </w:r>
            <w:r w:rsidR="001137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Attendance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279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8255DB" w:rsidRPr="008255DB" w:rsidTr="00A16623">
        <w:trPr>
          <w:trHeight w:val="528"/>
        </w:trPr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8255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 w:rsidRPr="008255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DB" w:rsidRPr="008255DB" w:rsidRDefault="008255DB" w:rsidP="007501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 </w:t>
            </w:r>
            <w:r w:rsidR="007501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doctoral</w:t>
            </w:r>
            <w:r w:rsidRPr="00A677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student who is transferred to the University is awarded the PhD degree of the University.</w:t>
            </w: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" w:type="pct"/>
            <w:vAlign w:val="center"/>
            <w:hideMark/>
          </w:tcPr>
          <w:p w:rsidR="008255DB" w:rsidRPr="008255DB" w:rsidRDefault="008255DB" w:rsidP="0082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55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8255DB" w:rsidRPr="008255DB" w:rsidRDefault="008255DB" w:rsidP="008255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255DB">
        <w:rPr>
          <w:rFonts w:ascii="Arial" w:eastAsia="Times New Roman" w:hAnsi="Arial" w:cs="Arial"/>
          <w:i/>
          <w:iCs/>
          <w:sz w:val="20"/>
          <w:szCs w:val="20"/>
          <w:lang w:val="en-US"/>
        </w:rPr>
        <w:t> </w:t>
      </w:r>
    </w:p>
    <w:p w:rsidR="008255DB" w:rsidRPr="008255DB" w:rsidRDefault="008255DB" w:rsidP="008255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255DB">
        <w:rPr>
          <w:rFonts w:ascii="Arial" w:eastAsia="Times New Roman" w:hAnsi="Arial" w:cs="Arial"/>
          <w:i/>
          <w:iCs/>
          <w:sz w:val="20"/>
          <w:szCs w:val="20"/>
          <w:lang w:val="en-US"/>
        </w:rPr>
        <w:t> </w:t>
      </w:r>
    </w:p>
    <w:p w:rsidR="008255DB" w:rsidRPr="008255DB" w:rsidRDefault="00113758" w:rsidP="008255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en-US"/>
        </w:rPr>
        <w:lastRenderedPageBreak/>
        <w:t>Annex 6 of the Rules on</w:t>
      </w:r>
      <w:r w:rsidR="008255DB" w:rsidRPr="00A677A4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Studies and 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>Academic</w:t>
      </w:r>
      <w:r w:rsidR="008255DB" w:rsidRPr="00A677A4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Affairs </w:t>
      </w:r>
      <w:r w:rsidR="00D66AC8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that 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have been </w:t>
      </w:r>
      <w:r w:rsidR="008255DB" w:rsidRPr="00A677A4">
        <w:rPr>
          <w:rFonts w:ascii="Arial" w:eastAsia="Times New Roman" w:hAnsi="Arial" w:cs="Arial"/>
          <w:i/>
          <w:iCs/>
          <w:sz w:val="20"/>
          <w:szCs w:val="20"/>
          <w:lang w:val="en-US"/>
        </w:rPr>
        <w:t>adopted at the 96</w:t>
      </w:r>
      <w:r w:rsidR="00750101" w:rsidRPr="00750101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US"/>
        </w:rPr>
        <w:t>th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 w:rsidR="008255DB" w:rsidRPr="00A677A4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Senate 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meeting </w:t>
      </w:r>
      <w:r w:rsidR="008255DB" w:rsidRPr="00A677A4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on 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>6</w:t>
      </w:r>
      <w:r w:rsidR="00750101" w:rsidRPr="00750101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US"/>
        </w:rPr>
        <w:t>th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 w:rsidR="008255DB" w:rsidRPr="00A677A4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June 2018 and 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>at the 84</w:t>
      </w:r>
      <w:r w:rsidR="00750101" w:rsidRPr="00750101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US"/>
        </w:rPr>
        <w:t>th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 w:rsidR="008255DB" w:rsidRPr="00A677A4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Council meeting on 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>28</w:t>
      </w:r>
      <w:r w:rsidR="00750101" w:rsidRPr="00750101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-US"/>
        </w:rPr>
        <w:t>th</w:t>
      </w:r>
      <w:r w:rsidR="0075010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June </w:t>
      </w:r>
      <w:r w:rsidR="008255DB" w:rsidRPr="00A677A4">
        <w:rPr>
          <w:rFonts w:ascii="Arial" w:eastAsia="Times New Roman" w:hAnsi="Arial" w:cs="Arial"/>
          <w:i/>
          <w:iCs/>
          <w:sz w:val="20"/>
          <w:szCs w:val="20"/>
          <w:lang w:val="en-US"/>
        </w:rPr>
        <w:t>2018.</w:t>
      </w:r>
      <w:r w:rsidR="008255DB" w:rsidRPr="008255D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8255DB" w:rsidRPr="008255DB" w:rsidRDefault="008255DB" w:rsidP="008255D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255DB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:rsidR="00331301" w:rsidRPr="00A677A4" w:rsidRDefault="00331301">
      <w:pPr>
        <w:rPr>
          <w:rFonts w:ascii="Arial" w:hAnsi="Arial" w:cs="Arial"/>
          <w:sz w:val="20"/>
          <w:szCs w:val="20"/>
          <w:lang w:val="en-US"/>
        </w:rPr>
      </w:pPr>
    </w:p>
    <w:sectPr w:rsidR="00331301" w:rsidRPr="00A677A4" w:rsidSect="00A1662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DB"/>
    <w:rsid w:val="00014D07"/>
    <w:rsid w:val="00020AAF"/>
    <w:rsid w:val="00021941"/>
    <w:rsid w:val="000220C1"/>
    <w:rsid w:val="00026586"/>
    <w:rsid w:val="000413EA"/>
    <w:rsid w:val="000E7351"/>
    <w:rsid w:val="000F1390"/>
    <w:rsid w:val="000F421B"/>
    <w:rsid w:val="00113758"/>
    <w:rsid w:val="00124C11"/>
    <w:rsid w:val="00132725"/>
    <w:rsid w:val="00163403"/>
    <w:rsid w:val="00172174"/>
    <w:rsid w:val="001B582F"/>
    <w:rsid w:val="001F1F4B"/>
    <w:rsid w:val="00225F57"/>
    <w:rsid w:val="0024049A"/>
    <w:rsid w:val="00245BD9"/>
    <w:rsid w:val="0024625C"/>
    <w:rsid w:val="00253B44"/>
    <w:rsid w:val="002C4E40"/>
    <w:rsid w:val="00302E7B"/>
    <w:rsid w:val="00331301"/>
    <w:rsid w:val="003333EC"/>
    <w:rsid w:val="003476C9"/>
    <w:rsid w:val="003A1F8F"/>
    <w:rsid w:val="003A22A7"/>
    <w:rsid w:val="003E1F5A"/>
    <w:rsid w:val="003F479B"/>
    <w:rsid w:val="00405894"/>
    <w:rsid w:val="00423E99"/>
    <w:rsid w:val="00483838"/>
    <w:rsid w:val="004B7E43"/>
    <w:rsid w:val="004D14CC"/>
    <w:rsid w:val="004E3D45"/>
    <w:rsid w:val="00502C2F"/>
    <w:rsid w:val="0053060B"/>
    <w:rsid w:val="00535C67"/>
    <w:rsid w:val="00551588"/>
    <w:rsid w:val="00584063"/>
    <w:rsid w:val="005A2A17"/>
    <w:rsid w:val="00653A48"/>
    <w:rsid w:val="00662C55"/>
    <w:rsid w:val="006C214E"/>
    <w:rsid w:val="006D1B6A"/>
    <w:rsid w:val="00704C7B"/>
    <w:rsid w:val="00706CBB"/>
    <w:rsid w:val="007128A3"/>
    <w:rsid w:val="0073384F"/>
    <w:rsid w:val="00750101"/>
    <w:rsid w:val="00752774"/>
    <w:rsid w:val="007556C5"/>
    <w:rsid w:val="007601C0"/>
    <w:rsid w:val="00765029"/>
    <w:rsid w:val="007716BA"/>
    <w:rsid w:val="007C2F4E"/>
    <w:rsid w:val="008255DB"/>
    <w:rsid w:val="008520B9"/>
    <w:rsid w:val="00870D74"/>
    <w:rsid w:val="008757F0"/>
    <w:rsid w:val="008B7735"/>
    <w:rsid w:val="009353F8"/>
    <w:rsid w:val="00943D04"/>
    <w:rsid w:val="0094444E"/>
    <w:rsid w:val="00947991"/>
    <w:rsid w:val="00966857"/>
    <w:rsid w:val="009910EA"/>
    <w:rsid w:val="009A5117"/>
    <w:rsid w:val="009E2F6F"/>
    <w:rsid w:val="009E34AE"/>
    <w:rsid w:val="009E5A88"/>
    <w:rsid w:val="009F10DA"/>
    <w:rsid w:val="00A052C4"/>
    <w:rsid w:val="00A16623"/>
    <w:rsid w:val="00A1784C"/>
    <w:rsid w:val="00A33467"/>
    <w:rsid w:val="00A354F2"/>
    <w:rsid w:val="00A356E6"/>
    <w:rsid w:val="00A47348"/>
    <w:rsid w:val="00A61352"/>
    <w:rsid w:val="00A677A4"/>
    <w:rsid w:val="00A70A57"/>
    <w:rsid w:val="00AB54E5"/>
    <w:rsid w:val="00AD3343"/>
    <w:rsid w:val="00AE5B73"/>
    <w:rsid w:val="00AF3397"/>
    <w:rsid w:val="00B40222"/>
    <w:rsid w:val="00B4052D"/>
    <w:rsid w:val="00B47DB1"/>
    <w:rsid w:val="00B67604"/>
    <w:rsid w:val="00B94584"/>
    <w:rsid w:val="00B97C7C"/>
    <w:rsid w:val="00BA2923"/>
    <w:rsid w:val="00BE748A"/>
    <w:rsid w:val="00C2149A"/>
    <w:rsid w:val="00C40E4D"/>
    <w:rsid w:val="00C46283"/>
    <w:rsid w:val="00C6141E"/>
    <w:rsid w:val="00C71E1A"/>
    <w:rsid w:val="00C75F62"/>
    <w:rsid w:val="00C960BA"/>
    <w:rsid w:val="00CA21CB"/>
    <w:rsid w:val="00CD1315"/>
    <w:rsid w:val="00CE56BA"/>
    <w:rsid w:val="00D66AC8"/>
    <w:rsid w:val="00D83E9D"/>
    <w:rsid w:val="00DA2ADD"/>
    <w:rsid w:val="00DA56EC"/>
    <w:rsid w:val="00DC1097"/>
    <w:rsid w:val="00DD03DA"/>
    <w:rsid w:val="00DD75E6"/>
    <w:rsid w:val="00E11E10"/>
    <w:rsid w:val="00E35FFB"/>
    <w:rsid w:val="00E631DA"/>
    <w:rsid w:val="00E923E3"/>
    <w:rsid w:val="00ED088C"/>
    <w:rsid w:val="00EE2BE0"/>
    <w:rsid w:val="00EF1BCB"/>
    <w:rsid w:val="00F77A60"/>
    <w:rsid w:val="00F77BC2"/>
    <w:rsid w:val="00F77EAB"/>
    <w:rsid w:val="00F8169C"/>
    <w:rsid w:val="00F81B83"/>
    <w:rsid w:val="00F94080"/>
    <w:rsid w:val="00FA4050"/>
    <w:rsid w:val="00FB7D9A"/>
    <w:rsid w:val="00FC520E"/>
    <w:rsid w:val="00FC637F"/>
    <w:rsid w:val="00FC76D4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074FA2-42C6-474F-BB63-049E5C84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01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translate">
    <w:name w:val="notranslate"/>
    <w:basedOn w:val="DefaultParagraphFont"/>
    <w:rsid w:val="008255DB"/>
  </w:style>
  <w:style w:type="character" w:customStyle="1" w:styleId="tlid-translation">
    <w:name w:val="tlid-translation"/>
    <w:basedOn w:val="DefaultParagraphFont"/>
    <w:rsid w:val="00A6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Mentzi</dc:creator>
  <cp:keywords/>
  <cp:lastModifiedBy>Vassilis Protopapas</cp:lastModifiedBy>
  <cp:revision>4</cp:revision>
  <dcterms:created xsi:type="dcterms:W3CDTF">2019-02-17T13:09:00Z</dcterms:created>
  <dcterms:modified xsi:type="dcterms:W3CDTF">2019-02-17T13:10:00Z</dcterms:modified>
</cp:coreProperties>
</file>