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831" w14:textId="77777777" w:rsidR="00F37ECD" w:rsidRPr="005A2D47" w:rsidRDefault="00F37ECD" w:rsidP="00752EDF">
      <w:pPr>
        <w:pStyle w:val="BodyText"/>
        <w:jc w:val="center"/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>Doctoral Vacancy Announcement form</w:t>
      </w:r>
    </w:p>
    <w:p w14:paraId="70D1CB34" w14:textId="77777777" w:rsidR="00752EDF" w:rsidRPr="005A2D47" w:rsidRDefault="00752EDF" w:rsidP="00752EDF">
      <w:pPr>
        <w:pStyle w:val="BodyText"/>
        <w:jc w:val="center"/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321277F2" w14:textId="77777777" w:rsidR="00686740" w:rsidRPr="005A2D47" w:rsidRDefault="00686740" w:rsidP="00752EDF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p w14:paraId="09903A1C" w14:textId="38241C38" w:rsidR="009C0743" w:rsidRPr="005A2D47" w:rsidRDefault="00F37ECD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>Research Topic Title: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</w:p>
    <w:p w14:paraId="38308C21" w14:textId="6FAE8EBB" w:rsidR="00686740" w:rsidRPr="005A2D47" w:rsidRDefault="0012102C" w:rsidP="00752ED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A2D47">
        <w:rPr>
          <w:rFonts w:asciiTheme="minorHAnsi" w:hAnsiTheme="minorHAnsi" w:cstheme="minorHAnsi"/>
          <w:color w:val="000000"/>
          <w:sz w:val="22"/>
          <w:szCs w:val="22"/>
          <w:lang w:val="en-US"/>
        </w:rPr>
        <w:t>Grid-scale Energy Storage: Imperatives for Accelerating the Green Transition (RESTORATIVE) – Dynamic Modeling and Optimization of High-Temperature Thermal Energy Storage for Concentrating Solar Power Systems</w:t>
      </w:r>
      <w:r w:rsidR="00752EDF" w:rsidRPr="005A2D47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26C39E82" w14:textId="77777777" w:rsidR="0012102C" w:rsidRPr="005A2D47" w:rsidRDefault="0012102C" w:rsidP="00752EDF">
      <w:pPr>
        <w:pStyle w:val="NormalWeb"/>
        <w:spacing w:before="0" w:beforeAutospacing="0" w:after="0" w:afterAutospacing="0"/>
        <w:jc w:val="both"/>
        <w:rPr>
          <w:rStyle w:val="IntenseEmphasis"/>
          <w:rFonts w:asciiTheme="minorHAnsi" w:hAnsiTheme="minorHAnsi" w:cstheme="minorHAnsi"/>
          <w:i w:val="0"/>
          <w:iCs w:val="0"/>
          <w:color w:val="000000"/>
          <w:sz w:val="22"/>
          <w:szCs w:val="22"/>
          <w:lang w:val="en-US"/>
        </w:rPr>
      </w:pPr>
    </w:p>
    <w:p w14:paraId="397C9C70" w14:textId="7B901C0C" w:rsidR="00F37ECD" w:rsidRPr="005A2D47" w:rsidRDefault="00F37ECD" w:rsidP="00752EDF">
      <w:pPr>
        <w:pStyle w:val="BodyText"/>
        <w:jc w:val="both"/>
        <w:rPr>
          <w:rStyle w:val="IntenseEmphasis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>No. of Openings: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 w:rsidR="0012102C" w:rsidRPr="005A2D47">
        <w:rPr>
          <w:rStyle w:val="IntenseEmphasis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1</w:t>
      </w:r>
    </w:p>
    <w:p w14:paraId="61F8F6F2" w14:textId="77777777" w:rsidR="004A3EFD" w:rsidRPr="005A2D47" w:rsidRDefault="004A3EFD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7378807D" w14:textId="77777777" w:rsidR="0012102C" w:rsidRPr="005A2D47" w:rsidRDefault="00F37ECD" w:rsidP="00752EDF">
      <w:pPr>
        <w:pStyle w:val="NormalWeb"/>
        <w:spacing w:before="0" w:beforeAutospacing="0"/>
        <w:jc w:val="both"/>
        <w:rPr>
          <w:rStyle w:val="IntenseEmphasis"/>
          <w:rFonts w:asciiTheme="minorHAnsi" w:hAnsiTheme="minorHAnsi" w:cstheme="minorHAnsi"/>
          <w:i w:val="0"/>
          <w:color w:val="auto"/>
          <w:lang w:val="en-US"/>
        </w:rPr>
      </w:pPr>
      <w:r w:rsidRPr="005A2D47">
        <w:rPr>
          <w:rStyle w:val="IntenseEmphasis"/>
          <w:rFonts w:asciiTheme="minorHAnsi" w:eastAsia="Calibri" w:hAnsiTheme="minorHAnsi" w:cstheme="minorHAnsi"/>
          <w:b/>
          <w:bCs/>
          <w:i w:val="0"/>
          <w:color w:val="auto"/>
          <w:lang w:val="en-US" w:eastAsia="en-US"/>
        </w:rPr>
        <w:t>Description: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lang w:val="en-US"/>
        </w:rPr>
        <w:t xml:space="preserve"> </w:t>
      </w:r>
    </w:p>
    <w:p w14:paraId="42BD9AD7" w14:textId="58CA831F" w:rsidR="0012102C" w:rsidRPr="005A2D47" w:rsidRDefault="0012102C" w:rsidP="00752EDF">
      <w:pPr>
        <w:pStyle w:val="NormalWeb"/>
        <w:spacing w:before="0" w:before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A2D47">
        <w:rPr>
          <w:rFonts w:asciiTheme="minorHAnsi" w:hAnsiTheme="minorHAnsi" w:cstheme="minorHAnsi"/>
          <w:color w:val="000000"/>
          <w:sz w:val="22"/>
          <w:szCs w:val="22"/>
          <w:lang w:val="en-US"/>
        </w:rPr>
        <w:t>Applications are invited for one (1) Doctoral Candidate</w:t>
      </w:r>
      <w:r w:rsidR="00752EDF" w:rsidRPr="005A2D4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(Research Fellow</w:t>
      </w:r>
      <w:r w:rsidRPr="005A2D47">
        <w:rPr>
          <w:rFonts w:asciiTheme="minorHAnsi" w:hAnsiTheme="minorHAnsi" w:cstheme="minorHAnsi"/>
          <w:color w:val="000000"/>
          <w:sz w:val="22"/>
          <w:szCs w:val="22"/>
          <w:lang w:val="en-US"/>
        </w:rPr>
        <w:t>) position at the Department of Mechanical Engineering and Materials Science and Engineering – Archimedes Solar Energy Laboratory (ASEL), Cyprus University of Technology (CUT), within the framework of the Horizon Europe Marie Skłodowska-Curie Doctoral Network project “RESTORATIVE – Grid-scale Energy Storage: Imperatives for Accelerating the Green Transition”.</w:t>
      </w:r>
    </w:p>
    <w:p w14:paraId="7EE9FCF9" w14:textId="77777777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The PhD project focuses on the development, optimization, and dynamic modeling of high-temperature thermal energy storage systems suitable for concentrating solar power (CSP) applications. The successful candidate will work on the design and validation of novel concrete-based sensible heat storage materials operating at temperatures beyond 700°C.</w:t>
      </w:r>
    </w:p>
    <w:p w14:paraId="719AD89C" w14:textId="77777777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5A2D47">
        <w:rPr>
          <w:rFonts w:eastAsia="Times New Roman" w:cstheme="minorHAnsi"/>
          <w:color w:val="000000"/>
          <w:lang w:eastAsia="en-GB"/>
        </w:rPr>
        <w:t xml:space="preserve">The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research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activities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include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>:</w:t>
      </w:r>
    </w:p>
    <w:p w14:paraId="5C74D820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Development and optimization of concrete-based thermal energy storage materials.</w:t>
      </w:r>
    </w:p>
    <w:p w14:paraId="09941C6B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Experimental characterization and validation of thermophysical properties.</w:t>
      </w:r>
    </w:p>
    <w:p w14:paraId="1212F1B7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Dynamic system modeling using TRNSYS and Engineering Equation Solver (EES).</w:t>
      </w:r>
    </w:p>
    <w:p w14:paraId="7BCFBFD6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Design and testing of thermal energy storage (TES) units.</w:t>
      </w:r>
    </w:p>
    <w:p w14:paraId="6BFF6415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5A2D47">
        <w:rPr>
          <w:rFonts w:eastAsia="Times New Roman" w:cstheme="minorHAnsi"/>
          <w:color w:val="000000"/>
          <w:lang w:eastAsia="en-GB"/>
        </w:rPr>
        <w:t>Charging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>/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discharging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experimental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studies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>.</w:t>
      </w:r>
    </w:p>
    <w:p w14:paraId="3FAF76AF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Techno-economic assessment and benchmarking against competing technologies.</w:t>
      </w:r>
    </w:p>
    <w:p w14:paraId="4968F78F" w14:textId="77777777" w:rsidR="0012102C" w:rsidRPr="005A2D47" w:rsidRDefault="0012102C" w:rsidP="00752EDF">
      <w:pPr>
        <w:numPr>
          <w:ilvl w:val="0"/>
          <w:numId w:val="1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Long-term dynamic simulation and system performance evaluation.</w:t>
      </w:r>
    </w:p>
    <w:p w14:paraId="5AEDF693" w14:textId="77777777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The doctoral candidate will participate in international secondments:</w:t>
      </w:r>
    </w:p>
    <w:p w14:paraId="76194622" w14:textId="77777777" w:rsidR="0012102C" w:rsidRPr="005A2D47" w:rsidRDefault="0012102C" w:rsidP="00752EDF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Approximately 6 months at the University of Lleida, Spain.</w:t>
      </w:r>
    </w:p>
    <w:p w14:paraId="42A4734C" w14:textId="77777777" w:rsidR="0012102C" w:rsidRPr="005A2D47" w:rsidRDefault="0012102C" w:rsidP="00752EDF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Approximately 3 months at B2Z, Spain.</w:t>
      </w:r>
    </w:p>
    <w:p w14:paraId="05A12A49" w14:textId="77777777" w:rsidR="007D4FF4" w:rsidRPr="005A2D47" w:rsidRDefault="0012102C" w:rsidP="00752EDF">
      <w:pPr>
        <w:spacing w:after="100" w:afterAutospacing="1" w:line="240" w:lineRule="auto"/>
        <w:jc w:val="both"/>
        <w:rPr>
          <w:rStyle w:val="IntenseEmphasis"/>
          <w:rFonts w:eastAsia="Times New Roman" w:cstheme="minorHAnsi"/>
          <w:i w:val="0"/>
          <w:iCs w:val="0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The candidate will also participate in project-wide training activities, workshops, and international summer/winter schools organized within the RESTORATIVE Doctoral Network.</w:t>
      </w:r>
    </w:p>
    <w:p w14:paraId="321CDE18" w14:textId="6F46FFA5" w:rsidR="007D4FF4" w:rsidRPr="005A2D47" w:rsidRDefault="007D4FF4" w:rsidP="00752EDF">
      <w:pPr>
        <w:spacing w:after="0" w:line="240" w:lineRule="auto"/>
        <w:jc w:val="both"/>
        <w:rPr>
          <w:rStyle w:val="IntenseEmphasis"/>
          <w:rFonts w:eastAsia="Times New Roman" w:cstheme="minorHAnsi"/>
          <w:b/>
          <w:bCs/>
          <w:i w:val="0"/>
          <w:iCs w:val="0"/>
          <w:color w:val="000000"/>
          <w:lang w:val="en-US" w:eastAsia="en-GB"/>
        </w:rPr>
      </w:pPr>
      <w:r w:rsidRPr="005A2D47">
        <w:rPr>
          <w:rFonts w:eastAsia="Times New Roman" w:cstheme="minorHAnsi"/>
          <w:b/>
          <w:bCs/>
          <w:color w:val="000000"/>
          <w:lang w:val="en-US" w:eastAsia="en-GB"/>
        </w:rPr>
        <w:t xml:space="preserve">Candidates applying through the corresponding Doctoral Vacancy Announcement procedure of the Cyprus University of Technology are also required to submit an application for the position “Research Fellow (Doctoral Candidate) – Postgraduate Associate / Assistant Researcher A – R1” under the RESTORATIVE Doctoral Network call </w:t>
      </w:r>
      <w:hyperlink r:id="rId7" w:history="1">
        <w:r w:rsidR="005A2D47" w:rsidRPr="00C3710A">
          <w:rPr>
            <w:rStyle w:val="Hyperlink"/>
            <w:lang w:val="en-US"/>
          </w:rPr>
          <w:t xml:space="preserve">here </w:t>
        </w:r>
        <w:r w:rsidR="005A2D47" w:rsidRPr="005A2D47">
          <w:rPr>
            <w:rStyle w:val="Hyperlink"/>
            <w:rFonts w:ascii="Apple Color Emoji" w:hAnsi="Apple Color Emoji" w:cs="Apple Color Emoji"/>
            <w:b/>
            <w:bCs/>
            <w:color w:val="66B0FB" w:themeColor="hyperlink" w:themeTint="80"/>
            <w:sz w:val="24"/>
            <w:lang w:val="en-US"/>
          </w:rPr>
          <w:t>↗</w:t>
        </w:r>
      </w:hyperlink>
      <w:r w:rsidR="005A2D47">
        <w:rPr>
          <w:rFonts w:eastAsia="Times New Roman" w:cstheme="minorHAnsi"/>
          <w:b/>
          <w:bCs/>
          <w:color w:val="000000"/>
          <w:lang w:val="en-US" w:eastAsia="en-GB"/>
        </w:rPr>
        <w:t>).</w:t>
      </w:r>
    </w:p>
    <w:p w14:paraId="0F0AE001" w14:textId="77777777" w:rsidR="00752EDF" w:rsidRPr="005A2D47" w:rsidRDefault="00752EDF" w:rsidP="00752EDF">
      <w:pPr>
        <w:spacing w:after="0" w:line="240" w:lineRule="auto"/>
        <w:jc w:val="both"/>
        <w:rPr>
          <w:rStyle w:val="IntenseEmphasis"/>
          <w:rFonts w:cstheme="minorHAnsi"/>
          <w:i w:val="0"/>
          <w:color w:val="auto"/>
          <w:sz w:val="24"/>
          <w:szCs w:val="24"/>
          <w:lang w:val="en-US"/>
        </w:rPr>
      </w:pPr>
    </w:p>
    <w:p w14:paraId="7A8530C7" w14:textId="0BB20399" w:rsidR="00F37ECD" w:rsidRPr="005A2D47" w:rsidRDefault="00F37ECD" w:rsidP="00752EDF">
      <w:pPr>
        <w:spacing w:after="100" w:afterAutospacing="1" w:line="240" w:lineRule="auto"/>
        <w:jc w:val="both"/>
        <w:rPr>
          <w:rStyle w:val="IntenseEmphasis"/>
          <w:rFonts w:cstheme="minorHAnsi"/>
          <w:b/>
          <w:bCs/>
          <w:i w:val="0"/>
          <w:color w:val="auto"/>
          <w:sz w:val="24"/>
          <w:szCs w:val="24"/>
          <w:lang w:val="en-US"/>
        </w:rPr>
      </w:pPr>
      <w:r w:rsidRPr="005A2D47">
        <w:rPr>
          <w:rStyle w:val="IntenseEmphasis"/>
          <w:rFonts w:cstheme="minorHAnsi"/>
          <w:b/>
          <w:bCs/>
          <w:i w:val="0"/>
          <w:color w:val="auto"/>
          <w:sz w:val="24"/>
          <w:szCs w:val="24"/>
          <w:lang w:val="en-US"/>
        </w:rPr>
        <w:lastRenderedPageBreak/>
        <w:t>Required Qualifications:</w:t>
      </w:r>
    </w:p>
    <w:p w14:paraId="5BFA0D7A" w14:textId="77777777" w:rsidR="0012102C" w:rsidRPr="005A2D47" w:rsidRDefault="0012102C" w:rsidP="00752EDF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 xml:space="preserve">A two-year </w:t>
      </w:r>
      <w:proofErr w:type="gramStart"/>
      <w:r w:rsidRPr="005A2D47">
        <w:rPr>
          <w:rFonts w:eastAsia="Times New Roman" w:cstheme="minorHAnsi"/>
          <w:color w:val="000000"/>
          <w:lang w:val="en-US" w:eastAsia="en-GB"/>
        </w:rPr>
        <w:t>Master’s</w:t>
      </w:r>
      <w:proofErr w:type="gramEnd"/>
      <w:r w:rsidRPr="005A2D47">
        <w:rPr>
          <w:rFonts w:eastAsia="Times New Roman" w:cstheme="minorHAnsi"/>
          <w:color w:val="000000"/>
          <w:lang w:val="en-US" w:eastAsia="en-GB"/>
        </w:rPr>
        <w:t xml:space="preserve"> degree (120 ECTS) or equivalent in Mechanical Engineering, Thermal Sciences, Energy Systems, or a related field.</w:t>
      </w:r>
    </w:p>
    <w:p w14:paraId="22E3DD90" w14:textId="77777777" w:rsidR="0012102C" w:rsidRPr="005A2D47" w:rsidRDefault="0012102C" w:rsidP="00752EDF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Very good knowledge of English (written and spoken).</w:t>
      </w:r>
    </w:p>
    <w:p w14:paraId="1AB7986F" w14:textId="77777777" w:rsidR="0012102C" w:rsidRPr="005A2D47" w:rsidRDefault="0012102C" w:rsidP="00752EDF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Strong interest in thermal energy storage systems and renewable energy technologies.</w:t>
      </w:r>
    </w:p>
    <w:p w14:paraId="105F99DE" w14:textId="77777777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The following will be considered an advantage:</w:t>
      </w:r>
    </w:p>
    <w:p w14:paraId="3E9E8E53" w14:textId="77777777" w:rsidR="0012102C" w:rsidRPr="005A2D47" w:rsidRDefault="0012102C" w:rsidP="00752EDF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Experience in thermo-mechanical energy storage systems.</w:t>
      </w:r>
    </w:p>
    <w:p w14:paraId="63C6D43A" w14:textId="77777777" w:rsidR="0012102C" w:rsidRPr="005A2D47" w:rsidRDefault="0012102C" w:rsidP="00752EDF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Experience with dynamic modeling software, especially TRNSYS.</w:t>
      </w:r>
    </w:p>
    <w:p w14:paraId="5DC8993F" w14:textId="77777777" w:rsidR="0012102C" w:rsidRPr="005A2D47" w:rsidRDefault="0012102C" w:rsidP="00752EDF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5A2D47">
        <w:rPr>
          <w:rFonts w:eastAsia="Times New Roman" w:cstheme="minorHAnsi"/>
          <w:color w:val="000000"/>
          <w:lang w:eastAsia="en-GB"/>
        </w:rPr>
        <w:t>Programming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and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simulation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5A2D47">
        <w:rPr>
          <w:rFonts w:eastAsia="Times New Roman" w:cstheme="minorHAnsi"/>
          <w:color w:val="000000"/>
          <w:lang w:eastAsia="en-GB"/>
        </w:rPr>
        <w:t>skills</w:t>
      </w:r>
      <w:proofErr w:type="spellEnd"/>
      <w:r w:rsidRPr="005A2D47">
        <w:rPr>
          <w:rFonts w:eastAsia="Times New Roman" w:cstheme="minorHAnsi"/>
          <w:color w:val="000000"/>
          <w:lang w:eastAsia="en-GB"/>
        </w:rPr>
        <w:t>.</w:t>
      </w:r>
    </w:p>
    <w:p w14:paraId="73AC0077" w14:textId="77777777" w:rsidR="0012102C" w:rsidRPr="005A2D47" w:rsidRDefault="0012102C" w:rsidP="00752EDF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International mobility or professional/research experience abroad.</w:t>
      </w:r>
    </w:p>
    <w:p w14:paraId="3C8F5E8B" w14:textId="3CD18EF1" w:rsidR="00F76B26" w:rsidRPr="005A2D47" w:rsidRDefault="0012102C" w:rsidP="00752EDF">
      <w:pPr>
        <w:spacing w:after="0" w:line="240" w:lineRule="auto"/>
        <w:jc w:val="both"/>
        <w:rPr>
          <w:rStyle w:val="IntenseEmphasis"/>
          <w:rFonts w:eastAsia="Times New Roman" w:cstheme="minorHAnsi"/>
          <w:b/>
          <w:bCs/>
          <w:i w:val="0"/>
          <w:iCs w:val="0"/>
          <w:color w:val="000000"/>
          <w:lang w:val="en-US" w:eastAsia="en-GB"/>
        </w:rPr>
      </w:pPr>
      <w:r w:rsidRPr="005A2D47">
        <w:rPr>
          <w:rFonts w:eastAsia="Times New Roman" w:cstheme="minorHAnsi"/>
          <w:b/>
          <w:bCs/>
          <w:color w:val="000000"/>
          <w:lang w:val="en-US" w:eastAsia="en-GB"/>
        </w:rPr>
        <w:t xml:space="preserve">Eligibility condition: According to the Marie </w:t>
      </w:r>
      <w:proofErr w:type="spellStart"/>
      <w:r w:rsidRPr="005A2D47">
        <w:rPr>
          <w:rFonts w:eastAsia="Times New Roman" w:cstheme="minorHAnsi"/>
          <w:b/>
          <w:bCs/>
          <w:color w:val="000000"/>
          <w:lang w:val="en-US" w:eastAsia="en-GB"/>
        </w:rPr>
        <w:t>Skłodowska</w:t>
      </w:r>
      <w:proofErr w:type="spellEnd"/>
      <w:r w:rsidRPr="005A2D47">
        <w:rPr>
          <w:rFonts w:eastAsia="Times New Roman" w:cstheme="minorHAnsi"/>
          <w:b/>
          <w:bCs/>
          <w:color w:val="000000"/>
          <w:lang w:val="en-US" w:eastAsia="en-GB"/>
        </w:rPr>
        <w:t>-Curie mobility rule, applicants must not have resided or carried out their main activity (work/studies) in Cyprus for more than 12 months during the 36 months immediately before the recruitment date (September 2026).</w:t>
      </w:r>
    </w:p>
    <w:p w14:paraId="632AD409" w14:textId="77777777" w:rsidR="00686740" w:rsidRPr="005A2D47" w:rsidRDefault="00686740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7D15396E" w14:textId="77777777" w:rsidR="00F37ECD" w:rsidRPr="005A2D47" w:rsidRDefault="00F37ECD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>Funding:</w:t>
      </w:r>
    </w:p>
    <w:p w14:paraId="32491AD6" w14:textId="77777777" w:rsidR="00F76B26" w:rsidRPr="005A2D47" w:rsidRDefault="00F76B26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4D282481" w14:textId="77777777" w:rsidR="0012102C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 xml:space="preserve">The position is funded by the European Union’s Horizon Europe Research and Innovation </w:t>
      </w:r>
      <w:proofErr w:type="spellStart"/>
      <w:r w:rsidRPr="005A2D47">
        <w:rPr>
          <w:rFonts w:eastAsia="Times New Roman" w:cstheme="minorHAnsi"/>
          <w:color w:val="000000"/>
          <w:lang w:val="en-US" w:eastAsia="en-GB"/>
        </w:rPr>
        <w:t>Programme</w:t>
      </w:r>
      <w:proofErr w:type="spellEnd"/>
      <w:r w:rsidRPr="005A2D47">
        <w:rPr>
          <w:rFonts w:eastAsia="Times New Roman" w:cstheme="minorHAnsi"/>
          <w:color w:val="000000"/>
          <w:lang w:val="en-US" w:eastAsia="en-GB"/>
        </w:rPr>
        <w:t xml:space="preserve"> under the Marie </w:t>
      </w:r>
      <w:proofErr w:type="spellStart"/>
      <w:r w:rsidRPr="005A2D47">
        <w:rPr>
          <w:rFonts w:eastAsia="Times New Roman" w:cstheme="minorHAnsi"/>
          <w:color w:val="000000"/>
          <w:lang w:val="en-US" w:eastAsia="en-GB"/>
        </w:rPr>
        <w:t>Skłodowska</w:t>
      </w:r>
      <w:proofErr w:type="spellEnd"/>
      <w:r w:rsidRPr="005A2D47">
        <w:rPr>
          <w:rFonts w:eastAsia="Times New Roman" w:cstheme="minorHAnsi"/>
          <w:color w:val="000000"/>
          <w:lang w:val="en-US" w:eastAsia="en-GB"/>
        </w:rPr>
        <w:t>-Curie Grant Agreement No. 101227219.</w:t>
      </w:r>
    </w:p>
    <w:p w14:paraId="465C715F" w14:textId="64F81624" w:rsidR="005A2D47" w:rsidRPr="005A2D47" w:rsidRDefault="005A2D47" w:rsidP="005A2D47">
      <w:pPr>
        <w:spacing w:after="0" w:line="240" w:lineRule="auto"/>
        <w:rPr>
          <w:lang w:val="en-US"/>
        </w:rPr>
      </w:pPr>
      <w:r w:rsidRPr="005A2D47">
        <w:rPr>
          <w:lang w:val="en-US"/>
        </w:rPr>
        <w:t xml:space="preserve">Further </w:t>
      </w:r>
      <w:proofErr w:type="gramStart"/>
      <w:r w:rsidRPr="005A2D47">
        <w:rPr>
          <w:lang w:val="en-US"/>
        </w:rPr>
        <w:t xml:space="preserve">information </w:t>
      </w:r>
      <w:r>
        <w:rPr>
          <w:lang w:val="en-US"/>
        </w:rPr>
        <w:t xml:space="preserve"> for</w:t>
      </w:r>
      <w:proofErr w:type="gramEnd"/>
      <w:r>
        <w:rPr>
          <w:lang w:val="en-US"/>
        </w:rPr>
        <w:t xml:space="preserve"> the position </w:t>
      </w:r>
      <w:r w:rsidRPr="005A2D47">
        <w:rPr>
          <w:lang w:val="en-US"/>
        </w:rPr>
        <w:t xml:space="preserve">is available in the </w:t>
      </w:r>
      <w:hyperlink r:id="rId8" w:history="1">
        <w:r w:rsidRPr="005A2D47">
          <w:rPr>
            <w:rStyle w:val="Hyperlink"/>
            <w:b/>
            <w:bCs/>
            <w:color w:val="98A7BD" w:themeColor="text2" w:themeTint="80"/>
            <w:lang w:val="en-US"/>
          </w:rPr>
          <w:t xml:space="preserve">official </w:t>
        </w:r>
        <w:r w:rsidRPr="00C3710A">
          <w:rPr>
            <w:rStyle w:val="Hyperlink"/>
            <w:b/>
            <w:bCs/>
            <w:color w:val="98A7BD" w:themeColor="text2" w:themeTint="80"/>
            <w:lang w:val="en-GB"/>
          </w:rPr>
          <w:t>announcement</w:t>
        </w:r>
      </w:hyperlink>
      <w:r w:rsidRPr="005A2D47">
        <w:rPr>
          <w:b/>
          <w:bCs/>
          <w:color w:val="98A7BD" w:themeColor="text2" w:themeTint="80"/>
          <w:u w:val="single"/>
          <w:lang w:val="en-US"/>
        </w:rPr>
        <w:t xml:space="preserve"> </w:t>
      </w:r>
      <w:r w:rsidRPr="005A2D47">
        <w:rPr>
          <w:b/>
          <w:bCs/>
          <w:color w:val="98A7BD" w:themeColor="text2" w:themeTint="80"/>
          <w:sz w:val="28"/>
          <w:szCs w:val="28"/>
          <w:u w:val="single"/>
          <w:lang w:val="en-US"/>
        </w:rPr>
        <w:t>↗</w:t>
      </w:r>
      <w:r w:rsidRPr="005A2D47">
        <w:rPr>
          <w:color w:val="000000" w:themeColor="text1"/>
          <w:lang w:val="en-US"/>
        </w:rPr>
        <w:t>.</w:t>
      </w:r>
    </w:p>
    <w:p w14:paraId="58D389DB" w14:textId="77777777" w:rsidR="005A2D47" w:rsidRPr="005A2D47" w:rsidRDefault="005A2D47" w:rsidP="005A2D47">
      <w:pPr>
        <w:spacing w:after="0" w:line="240" w:lineRule="auto"/>
        <w:jc w:val="both"/>
        <w:rPr>
          <w:rFonts w:eastAsia="Times New Roman" w:cstheme="minorHAnsi"/>
          <w:color w:val="000000"/>
          <w:lang w:val="en-US" w:eastAsia="en-GB"/>
        </w:rPr>
      </w:pPr>
    </w:p>
    <w:p w14:paraId="180D5523" w14:textId="77777777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Duration: 36 months</w:t>
      </w:r>
    </w:p>
    <w:p w14:paraId="6D17E295" w14:textId="0555CF5B" w:rsidR="00EA1D62" w:rsidRPr="005A2D47" w:rsidRDefault="0012102C" w:rsidP="00752EDF">
      <w:pPr>
        <w:pStyle w:val="style2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5A2D47">
        <w:rPr>
          <w:rFonts w:asciiTheme="minorHAnsi" w:hAnsiTheme="minorHAnsi" w:cstheme="minorHAnsi"/>
          <w:sz w:val="24"/>
          <w:szCs w:val="24"/>
          <w:lang w:val="en-US" w:eastAsia="en-GB"/>
        </w:rPr>
        <w:t>Monthly gross salary: €2458.33</w:t>
      </w:r>
      <w:r w:rsidR="00EA1D62" w:rsidRPr="005A2D47">
        <w:rPr>
          <w:rFonts w:asciiTheme="minorHAnsi" w:hAnsiTheme="minorHAnsi" w:cstheme="minorHAnsi"/>
          <w:color w:val="FF0000"/>
          <w:sz w:val="24"/>
          <w:szCs w:val="24"/>
          <w:lang w:val="en-GB" w:eastAsia="en-GB"/>
        </w:rPr>
        <w:t xml:space="preserve">. 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US"/>
        </w:rPr>
        <w:t>From this amount employer and employee contributions to the Cyprus government funds will be deducted (Note: the monthly gross salary after the deduction of employer contributions amounts to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€2130,26 until 31.12.28 and €2121,07 from 1.1.29 for 143,33 hours/month full time employment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, based on the legislation currently in effect. 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From this amount, employee contributions will be deducted, according to current legislation). 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US"/>
        </w:rPr>
        <w:t>It is noted that there is provision for 13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vertAlign w:val="superscript"/>
          <w:lang w:val="en-US"/>
        </w:rPr>
        <w:t>th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salary (the cost of the 13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vertAlign w:val="superscript"/>
          <w:lang w:val="en-US"/>
        </w:rPr>
        <w:t>th</w:t>
      </w:r>
      <w:r w:rsidR="00EA1D62" w:rsidRPr="005A2D47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salary has been proportionally incorporated in the monthly remuneration as analyzed above). </w:t>
      </w:r>
    </w:p>
    <w:p w14:paraId="7AA21D1B" w14:textId="77777777" w:rsidR="00CA790E" w:rsidRPr="005A2D47" w:rsidRDefault="00CA790E" w:rsidP="00752EDF">
      <w:pPr>
        <w:spacing w:after="0" w:line="240" w:lineRule="auto"/>
        <w:jc w:val="both"/>
        <w:rPr>
          <w:rFonts w:eastAsia="Times New Roman" w:cstheme="minorHAnsi"/>
          <w:color w:val="FF0000"/>
          <w:lang w:val="en-US" w:eastAsia="en-GB"/>
        </w:rPr>
      </w:pPr>
    </w:p>
    <w:p w14:paraId="5287E53F" w14:textId="0618A5ED" w:rsidR="0012102C" w:rsidRPr="005A2D47" w:rsidRDefault="0012102C" w:rsidP="00752EDF">
      <w:pPr>
        <w:spacing w:after="100" w:afterAutospacing="1" w:line="240" w:lineRule="auto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5A2D47">
        <w:rPr>
          <w:rFonts w:eastAsia="Times New Roman" w:cstheme="minorHAnsi"/>
          <w:b/>
          <w:bCs/>
          <w:color w:val="000000"/>
          <w:lang w:eastAsia="en-GB"/>
        </w:rPr>
        <w:t>Additional allowances:</w:t>
      </w:r>
    </w:p>
    <w:p w14:paraId="4272914E" w14:textId="77777777" w:rsidR="0012102C" w:rsidRPr="005A2D47" w:rsidRDefault="0012102C" w:rsidP="00752EDF">
      <w:pPr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5A2D47">
        <w:rPr>
          <w:rFonts w:eastAsia="Times New Roman" w:cstheme="minorHAnsi"/>
          <w:color w:val="000000"/>
          <w:lang w:eastAsia="en-GB"/>
        </w:rPr>
        <w:t>Mobility allowance: €600/month</w:t>
      </w:r>
    </w:p>
    <w:p w14:paraId="403D3AFF" w14:textId="77777777" w:rsidR="0012102C" w:rsidRPr="005A2D47" w:rsidRDefault="0012102C" w:rsidP="00752EDF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lang w:val="en-US" w:eastAsia="en-GB"/>
        </w:rPr>
      </w:pPr>
      <w:r w:rsidRPr="005A2D47">
        <w:rPr>
          <w:rFonts w:eastAsia="Times New Roman" w:cstheme="minorHAnsi"/>
          <w:color w:val="000000"/>
          <w:lang w:val="en-US" w:eastAsia="en-GB"/>
        </w:rPr>
        <w:t>Family allowance (if applicable according to Horizon Europe rules)</w:t>
      </w:r>
    </w:p>
    <w:p w14:paraId="7F5F2601" w14:textId="77777777" w:rsidR="00686740" w:rsidRPr="005A2D47" w:rsidRDefault="00686740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0041F41F" w14:textId="143324F2" w:rsidR="00686740" w:rsidRPr="005A2D47" w:rsidRDefault="00686740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>Research Advisor: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</w:p>
    <w:p w14:paraId="7D3EF132" w14:textId="4B19F2FB" w:rsidR="00F76B26" w:rsidRPr="005A2D47" w:rsidRDefault="00F76B26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  <w:t>Name/Surname:</w:t>
      </w:r>
      <w:r w:rsidR="0012102C" w:rsidRPr="005A2D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102C" w:rsidRPr="005A2D4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Prof. Soteris Kalogirou</w:t>
      </w:r>
    </w:p>
    <w:p w14:paraId="72B8043F" w14:textId="3CA0385F" w:rsidR="00F76B26" w:rsidRPr="005A2D47" w:rsidRDefault="00F76B26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  <w:t>Position: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12102C" w:rsidRPr="005A2D47">
        <w:rPr>
          <w:rStyle w:val="IntenseEmphasis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Professor</w:t>
      </w:r>
    </w:p>
    <w:p w14:paraId="1887E17F" w14:textId="0D55B353" w:rsidR="00F76B26" w:rsidRPr="005A2D47" w:rsidRDefault="00F76B26" w:rsidP="00752EDF">
      <w:pPr>
        <w:pStyle w:val="BodyText"/>
        <w:jc w:val="both"/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</w:pPr>
      <w:r w:rsidRPr="005A2D47"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  <w:t>Email:</w:t>
      </w:r>
      <w:r w:rsidR="0012102C" w:rsidRPr="005A2D47">
        <w:rPr>
          <w:rStyle w:val="IntenseEmphasis"/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12102C" w:rsidRPr="005A2D4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soteris.kalogirou@cut.ac.cy</w:t>
      </w:r>
    </w:p>
    <w:sectPr w:rsidR="00F76B26" w:rsidRPr="005A2D47" w:rsidSect="007D4FF4">
      <w:headerReference w:type="default" r:id="rId9"/>
      <w:pgSz w:w="12240" w:h="15840"/>
      <w:pgMar w:top="1230" w:right="1440" w:bottom="7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CC12" w14:textId="77777777" w:rsidR="0055318D" w:rsidRDefault="0055318D" w:rsidP="00686740">
      <w:pPr>
        <w:spacing w:after="0" w:line="240" w:lineRule="auto"/>
      </w:pPr>
      <w:r>
        <w:separator/>
      </w:r>
    </w:p>
  </w:endnote>
  <w:endnote w:type="continuationSeparator" w:id="0">
    <w:p w14:paraId="6B6B6B3E" w14:textId="77777777" w:rsidR="0055318D" w:rsidRDefault="0055318D" w:rsidP="0068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4FA8" w14:textId="77777777" w:rsidR="0055318D" w:rsidRDefault="0055318D" w:rsidP="00686740">
      <w:pPr>
        <w:spacing w:after="0" w:line="240" w:lineRule="auto"/>
      </w:pPr>
      <w:r>
        <w:separator/>
      </w:r>
    </w:p>
  </w:footnote>
  <w:footnote w:type="continuationSeparator" w:id="0">
    <w:p w14:paraId="769ECBCE" w14:textId="77777777" w:rsidR="0055318D" w:rsidRDefault="0055318D" w:rsidP="0068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E9B1" w14:textId="77777777" w:rsidR="00686740" w:rsidRDefault="00686740">
    <w:pPr>
      <w:pStyle w:val="Header"/>
    </w:pPr>
    <w:r w:rsidRPr="00A848D3">
      <w:rPr>
        <w:b/>
        <w:noProof/>
        <w:sz w:val="28"/>
      </w:rPr>
      <w:drawing>
        <wp:inline distT="0" distB="0" distL="0" distR="0" wp14:anchorId="7127AF2C" wp14:editId="1A7831EF">
          <wp:extent cx="4425705" cy="10789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41500_100SSW_-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705" cy="107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539"/>
    <w:multiLevelType w:val="multilevel"/>
    <w:tmpl w:val="AB0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6A5B"/>
    <w:multiLevelType w:val="multilevel"/>
    <w:tmpl w:val="08F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462CB"/>
    <w:multiLevelType w:val="multilevel"/>
    <w:tmpl w:val="91C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B1B6C"/>
    <w:multiLevelType w:val="multilevel"/>
    <w:tmpl w:val="7BB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30C5C"/>
    <w:multiLevelType w:val="multilevel"/>
    <w:tmpl w:val="C6E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634709">
    <w:abstractNumId w:val="2"/>
  </w:num>
  <w:num w:numId="2" w16cid:durableId="1501582063">
    <w:abstractNumId w:val="4"/>
  </w:num>
  <w:num w:numId="3" w16cid:durableId="1726103364">
    <w:abstractNumId w:val="3"/>
  </w:num>
  <w:num w:numId="4" w16cid:durableId="1415930033">
    <w:abstractNumId w:val="0"/>
  </w:num>
  <w:num w:numId="5" w16cid:durableId="127074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CD"/>
    <w:rsid w:val="0012102C"/>
    <w:rsid w:val="0018402D"/>
    <w:rsid w:val="001E0013"/>
    <w:rsid w:val="00326989"/>
    <w:rsid w:val="00363C42"/>
    <w:rsid w:val="003C322A"/>
    <w:rsid w:val="004A3EFD"/>
    <w:rsid w:val="0055318D"/>
    <w:rsid w:val="005A2D47"/>
    <w:rsid w:val="00643485"/>
    <w:rsid w:val="00686740"/>
    <w:rsid w:val="006E13D9"/>
    <w:rsid w:val="00752EDF"/>
    <w:rsid w:val="00760E05"/>
    <w:rsid w:val="00797F6E"/>
    <w:rsid w:val="007D4FF4"/>
    <w:rsid w:val="0087100C"/>
    <w:rsid w:val="00992C1D"/>
    <w:rsid w:val="009C0743"/>
    <w:rsid w:val="00CA790E"/>
    <w:rsid w:val="00D33C7D"/>
    <w:rsid w:val="00E00BD9"/>
    <w:rsid w:val="00EA1D62"/>
    <w:rsid w:val="00EE3885"/>
    <w:rsid w:val="00F17BCC"/>
    <w:rsid w:val="00F266A9"/>
    <w:rsid w:val="00F37ECD"/>
    <w:rsid w:val="00F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16F9"/>
  <w15:chartTrackingRefBased/>
  <w15:docId w15:val="{4C9201CC-FA63-4646-B5F2-E5A43381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7E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7ECD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37E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67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40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6867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40"/>
    <w:rPr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6867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styleId="IntenseEmphasis">
    <w:name w:val="Intense Emphasis"/>
    <w:basedOn w:val="DefaultParagraphFont"/>
    <w:uiPriority w:val="21"/>
    <w:qFormat/>
    <w:rsid w:val="0068674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2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2">
    <w:name w:val="style2"/>
    <w:basedOn w:val="Normal"/>
    <w:rsid w:val="00EA1D6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2"/>
      <w:szCs w:val="12"/>
      <w:lang w:eastAsia="el-GR"/>
    </w:rPr>
  </w:style>
  <w:style w:type="character" w:styleId="Hyperlink">
    <w:name w:val="Hyperlink"/>
    <w:basedOn w:val="DefaultParagraphFont"/>
    <w:uiPriority w:val="99"/>
    <w:unhideWhenUsed/>
    <w:rsid w:val="005A2D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D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t.ac.cy/university/administration/administrative-services/hr/jobs/job-vacancies-departments/m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pages/responsepage.aspx?id=vJh2j7Sxn0OyWQITQB0c-_U9tglp4eVNlQZ41NwBpQpUNUY0Slg2MVdSWEVLQ09OSE5UODFDQjRMTy4u&amp;route=short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Constantina Hadjimitsi</dc:creator>
  <cp:keywords/>
  <dc:description/>
  <cp:lastModifiedBy>Constantina Hadjimitsi</cp:lastModifiedBy>
  <cp:revision>2</cp:revision>
  <dcterms:created xsi:type="dcterms:W3CDTF">2026-05-25T13:19:00Z</dcterms:created>
  <dcterms:modified xsi:type="dcterms:W3CDTF">2026-05-25T13:19:00Z</dcterms:modified>
</cp:coreProperties>
</file>